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EFC3" w14:textId="77777777" w:rsidR="00D44516" w:rsidRDefault="00D44516" w:rsidP="000D0249">
      <w:pPr>
        <w:tabs>
          <w:tab w:val="center" w:pos="4680"/>
          <w:tab w:val="left" w:pos="5040"/>
          <w:tab w:val="left" w:pos="5760"/>
          <w:tab w:val="left" w:pos="6480"/>
          <w:tab w:val="left" w:pos="7200"/>
          <w:tab w:val="left" w:pos="7920"/>
          <w:tab w:val="left" w:pos="8640"/>
        </w:tabs>
        <w:outlineLvl w:val="0"/>
        <w:rPr>
          <w:rFonts w:ascii="Shruti" w:hAnsi="Shruti" w:cs="Shruti"/>
          <w:b/>
          <w:bCs/>
          <w:u w:val="single"/>
        </w:rPr>
      </w:pPr>
      <w:r>
        <w:fldChar w:fldCharType="begin"/>
      </w:r>
      <w:r>
        <w:instrText>ADVANCE \d4</w:instrText>
      </w:r>
      <w:r>
        <w:fldChar w:fldCharType="end"/>
      </w:r>
      <w:r>
        <w:rPr>
          <w:rFonts w:ascii="Shruti" w:hAnsi="Shruti" w:cs="Shruti"/>
        </w:rPr>
        <w:tab/>
      </w:r>
      <w:r>
        <w:rPr>
          <w:rFonts w:ascii="Shruti" w:hAnsi="Shruti" w:cs="Shruti"/>
          <w:b/>
          <w:bCs/>
          <w:u w:val="single"/>
        </w:rPr>
        <w:t>STEWART M. WELTMAN</w:t>
      </w:r>
    </w:p>
    <w:p w14:paraId="4561EFC4" w14:textId="77777777" w:rsidR="00D44516" w:rsidRDefault="00D4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4561EFC5" w14:textId="77777777" w:rsidR="007E210E" w:rsidRDefault="007E210E" w:rsidP="007E210E"/>
    <w:p w14:paraId="4561EFC7" w14:textId="20679A43" w:rsidR="00441CE2" w:rsidRDefault="007F54CE" w:rsidP="007E210E">
      <w:r>
        <w:t>WELTMAN LAW LLC</w:t>
      </w:r>
    </w:p>
    <w:p w14:paraId="4561EFC8" w14:textId="77777777" w:rsidR="00762CE8" w:rsidRDefault="00762CE8" w:rsidP="007E210E">
      <w:r>
        <w:t>Chicago, Illinois</w:t>
      </w:r>
    </w:p>
    <w:p w14:paraId="4561EFC9" w14:textId="77777777" w:rsidR="00762CE8" w:rsidRDefault="00762CE8" w:rsidP="007E210E"/>
    <w:p w14:paraId="4561EFCA" w14:textId="568DF0CA" w:rsidR="00D572F6" w:rsidRDefault="00D44516" w:rsidP="007E210E">
      <w:r w:rsidRPr="007E210E">
        <w:t xml:space="preserve">Mr. Weltman </w:t>
      </w:r>
      <w:r w:rsidR="00414601">
        <w:t xml:space="preserve">has been a complex litigator for over </w:t>
      </w:r>
      <w:r w:rsidR="00D10F5E">
        <w:t>thirty</w:t>
      </w:r>
      <w:r w:rsidR="00414601">
        <w:t xml:space="preserve"> years, leading and trying complex</w:t>
      </w:r>
      <w:r w:rsidR="00D572F6">
        <w:t xml:space="preserve"> litigation</w:t>
      </w:r>
      <w:r w:rsidR="00414601">
        <w:t xml:space="preserve"> matters in both Federal and S</w:t>
      </w:r>
      <w:r w:rsidR="00D572F6">
        <w:t>t</w:t>
      </w:r>
      <w:r w:rsidR="00414601">
        <w:t>ate courts throughout the United States</w:t>
      </w:r>
      <w:r w:rsidR="00D572F6">
        <w:t>.</w:t>
      </w:r>
      <w:r w:rsidR="00414601">
        <w:t xml:space="preserve">  </w:t>
      </w:r>
      <w:r w:rsidRPr="007E210E">
        <w:t xml:space="preserve"> </w:t>
      </w:r>
      <w:r w:rsidR="00414601">
        <w:t xml:space="preserve">Formerly a </w:t>
      </w:r>
      <w:r w:rsidRPr="007E210E">
        <w:t xml:space="preserve">partner </w:t>
      </w:r>
      <w:r w:rsidR="00414601">
        <w:t xml:space="preserve">with </w:t>
      </w:r>
      <w:r w:rsidR="00166888">
        <w:t xml:space="preserve">a </w:t>
      </w:r>
      <w:r w:rsidR="00476E79">
        <w:t xml:space="preserve">mid-sized firm in Chicago </w:t>
      </w:r>
      <w:r w:rsidR="00414601">
        <w:t xml:space="preserve">and an Antitrust and Securities litigation partner with </w:t>
      </w:r>
      <w:r w:rsidR="005C19DD">
        <w:t>a</w:t>
      </w:r>
      <w:r w:rsidR="00D10F5E">
        <w:t xml:space="preserve"> </w:t>
      </w:r>
      <w:r w:rsidR="00D572F6">
        <w:t xml:space="preserve">Washington D.C. based </w:t>
      </w:r>
      <w:r w:rsidR="006277D9">
        <w:t>litigation boutique</w:t>
      </w:r>
      <w:r w:rsidR="00B46128">
        <w:t xml:space="preserve">, </w:t>
      </w:r>
      <w:r w:rsidR="00D10F5E">
        <w:t xml:space="preserve">Mr. Weltman </w:t>
      </w:r>
      <w:r w:rsidR="00B46128">
        <w:t>is currently</w:t>
      </w:r>
      <w:r w:rsidR="009E3229">
        <w:t xml:space="preserve"> the founder and</w:t>
      </w:r>
      <w:bookmarkStart w:id="0" w:name="_GoBack"/>
      <w:bookmarkEnd w:id="0"/>
      <w:r w:rsidR="00B46128">
        <w:t xml:space="preserve"> </w:t>
      </w:r>
      <w:r w:rsidR="00CC2CD5">
        <w:t xml:space="preserve">owner of </w:t>
      </w:r>
      <w:proofErr w:type="spellStart"/>
      <w:r w:rsidR="00CC2CD5">
        <w:t>Weltman</w:t>
      </w:r>
      <w:proofErr w:type="spellEnd"/>
      <w:r w:rsidR="00CC2CD5">
        <w:t xml:space="preserve"> Law LLC.</w:t>
      </w:r>
    </w:p>
    <w:p w14:paraId="4561EFCB" w14:textId="77777777" w:rsidR="00D572F6" w:rsidRDefault="00D572F6" w:rsidP="007E210E"/>
    <w:p w14:paraId="4561EFCC" w14:textId="77777777" w:rsidR="00EF2FA2" w:rsidRDefault="00EF2FA2" w:rsidP="007E210E">
      <w:r>
        <w:t xml:space="preserve">Mr. </w:t>
      </w:r>
      <w:r w:rsidR="007E210E" w:rsidRPr="007E210E">
        <w:t>Weltman  has been</w:t>
      </w:r>
      <w:r w:rsidR="00AE0202">
        <w:t xml:space="preserve"> a</w:t>
      </w:r>
      <w:r w:rsidR="007E210E" w:rsidRPr="007E210E">
        <w:t xml:space="preserve"> lead and trial counsel in numerous complex litigation matters for both plaintiffs and defendants, ranging from antitrust, accounting malpractice, legal malpractice, securities fraud, patent issues, contract actions, and consumer fraud.</w:t>
      </w:r>
      <w:r w:rsidR="00441CE2">
        <w:t xml:space="preserve"> </w:t>
      </w:r>
      <w:r w:rsidR="00441CE2" w:rsidRPr="007E210E">
        <w:t xml:space="preserve">In addition to his antitrust experience, Mr. Weltman also acted as lead attorney or lead counsel in several securities fraud </w:t>
      </w:r>
      <w:r w:rsidR="00441CE2">
        <w:t>matters</w:t>
      </w:r>
      <w:r w:rsidR="00441CE2" w:rsidRPr="007E210E">
        <w:t>. He was the lead attorney for his client Pacific Life Insurance Company in its individual action brought against various underwriter defendants arising out of th</w:t>
      </w:r>
      <w:r w:rsidR="00441CE2">
        <w:t>e WorldCom frauds.</w:t>
      </w:r>
    </w:p>
    <w:p w14:paraId="4561EFCD" w14:textId="77777777" w:rsidR="00EF2FA2" w:rsidRDefault="00EF2FA2" w:rsidP="007E210E"/>
    <w:p w14:paraId="4561EFCE" w14:textId="77777777" w:rsidR="00D10F5E" w:rsidRDefault="00EF2FA2" w:rsidP="007E210E">
      <w:r>
        <w:t xml:space="preserve">He is currently co-lead counsel in numerous consumer fraud class actions involving a </w:t>
      </w:r>
      <w:r w:rsidR="005C19DD">
        <w:t>w</w:t>
      </w:r>
      <w:r w:rsidR="00441CE2">
        <w:t xml:space="preserve">ide range of products </w:t>
      </w:r>
      <w:r w:rsidR="00166888">
        <w:t xml:space="preserve">and is considered a leader in the area. </w:t>
      </w:r>
    </w:p>
    <w:p w14:paraId="4561EFCF" w14:textId="77777777" w:rsidR="00166888" w:rsidRPr="007E210E" w:rsidRDefault="00166888" w:rsidP="007E210E"/>
    <w:p w14:paraId="4561EFD0" w14:textId="77777777" w:rsidR="00441CE2" w:rsidRPr="00476E79" w:rsidRDefault="00166888" w:rsidP="007E210E">
      <w:pPr>
        <w:rPr>
          <w:b/>
        </w:rPr>
      </w:pPr>
      <w:r>
        <w:rPr>
          <w:b/>
        </w:rPr>
        <w:t>Antitrust Results</w:t>
      </w:r>
    </w:p>
    <w:p w14:paraId="4561EFD1" w14:textId="77777777" w:rsidR="00441CE2" w:rsidRDefault="00441CE2" w:rsidP="007E210E"/>
    <w:p w14:paraId="4561EFD2" w14:textId="77777777" w:rsidR="00441CE2" w:rsidRDefault="00441CE2" w:rsidP="007E210E">
      <w:r>
        <w:t>O</w:t>
      </w:r>
      <w:r w:rsidR="002F45A8">
        <w:t xml:space="preserve">ne </w:t>
      </w:r>
      <w:r w:rsidR="00D44516" w:rsidRPr="007E210E">
        <w:t xml:space="preserve">of the lead trial counsel in </w:t>
      </w:r>
      <w:r w:rsidR="00D44516" w:rsidRPr="007E210E">
        <w:rPr>
          <w:rStyle w:val="Emphasis"/>
        </w:rPr>
        <w:t xml:space="preserve">In </w:t>
      </w:r>
      <w:r w:rsidR="007E210E" w:rsidRPr="007E210E">
        <w:rPr>
          <w:rStyle w:val="Emphasis"/>
        </w:rPr>
        <w:t>r</w:t>
      </w:r>
      <w:r w:rsidR="00D44516" w:rsidRPr="007E210E">
        <w:rPr>
          <w:rStyle w:val="Emphasis"/>
        </w:rPr>
        <w:t>e Carbon Black Antitrust Litigation</w:t>
      </w:r>
      <w:r>
        <w:t xml:space="preserve"> (</w:t>
      </w:r>
      <w:r w:rsidR="00D44516" w:rsidRPr="007E210E">
        <w:t xml:space="preserve">D.C. Mass.), </w:t>
      </w:r>
      <w:r w:rsidR="00503375">
        <w:t xml:space="preserve">which </w:t>
      </w:r>
      <w:r w:rsidR="002F45A8">
        <w:t>settled</w:t>
      </w:r>
      <w:r w:rsidR="00881DB7">
        <w:t xml:space="preserve"> for $20 million</w:t>
      </w:r>
      <w:r w:rsidR="002F45A8">
        <w:t xml:space="preserve">.  </w:t>
      </w:r>
    </w:p>
    <w:p w14:paraId="4561EFD3" w14:textId="77777777" w:rsidR="00441CE2" w:rsidRDefault="00441CE2" w:rsidP="007E210E"/>
    <w:p w14:paraId="4561EFD4" w14:textId="77777777" w:rsidR="00D44516" w:rsidRPr="007E210E" w:rsidRDefault="00441CE2" w:rsidP="007E210E">
      <w:r>
        <w:t xml:space="preserve">One of the </w:t>
      </w:r>
      <w:r w:rsidR="00D55096">
        <w:t xml:space="preserve">lead counsel and </w:t>
      </w:r>
      <w:r w:rsidR="00D44516" w:rsidRPr="007E210E">
        <w:t xml:space="preserve">one of the members of the trial preparation team </w:t>
      </w:r>
      <w:r w:rsidR="00D44516" w:rsidRPr="007E210E">
        <w:rPr>
          <w:rStyle w:val="Emphasis"/>
        </w:rPr>
        <w:t>In Re EPDM Antitrust Litigation</w:t>
      </w:r>
      <w:r w:rsidR="00D44516" w:rsidRPr="007E210E">
        <w:t xml:space="preserve"> (D.C. Conn.)</w:t>
      </w:r>
      <w:r w:rsidR="00503375">
        <w:t>, in which three defendants</w:t>
      </w:r>
      <w:r w:rsidR="00D44516" w:rsidRPr="007E210E">
        <w:t xml:space="preserve"> settled claims for a total of $81 million.</w:t>
      </w:r>
    </w:p>
    <w:p w14:paraId="4561EFD5" w14:textId="77777777" w:rsidR="007E210E" w:rsidRPr="007E210E" w:rsidRDefault="007E210E" w:rsidP="007E210E"/>
    <w:p w14:paraId="4561EFD6" w14:textId="77777777" w:rsidR="00441CE2" w:rsidRDefault="00441CE2" w:rsidP="007E210E">
      <w:r>
        <w:t xml:space="preserve">One of the </w:t>
      </w:r>
      <w:r w:rsidR="00D44516" w:rsidRPr="007E210E">
        <w:t xml:space="preserve">lead counsel </w:t>
      </w:r>
      <w:r w:rsidR="00D44516" w:rsidRPr="007E210E">
        <w:rPr>
          <w:rStyle w:val="Emphasis"/>
        </w:rPr>
        <w:t xml:space="preserve">In </w:t>
      </w:r>
      <w:r w:rsidR="007E210E" w:rsidRPr="007E210E">
        <w:rPr>
          <w:rStyle w:val="Emphasis"/>
        </w:rPr>
        <w:t>r</w:t>
      </w:r>
      <w:r w:rsidR="00D44516" w:rsidRPr="007E210E">
        <w:rPr>
          <w:rStyle w:val="Emphasis"/>
        </w:rPr>
        <w:t>e PCP Antitrust Litigation</w:t>
      </w:r>
      <w:r w:rsidR="00D44516" w:rsidRPr="007E210E">
        <w:t xml:space="preserve"> (D.C. Conn.), which settled for $80 million</w:t>
      </w:r>
      <w:r>
        <w:t>.</w:t>
      </w:r>
    </w:p>
    <w:p w14:paraId="4561EFD7" w14:textId="77777777" w:rsidR="00441CE2" w:rsidRDefault="00441CE2" w:rsidP="007E210E"/>
    <w:p w14:paraId="4561EFD8" w14:textId="77777777" w:rsidR="00D44516" w:rsidRPr="007E210E" w:rsidRDefault="00441CE2" w:rsidP="007E210E">
      <w:r>
        <w:t>One of the</w:t>
      </w:r>
      <w:r w:rsidR="00D44516" w:rsidRPr="007E210E">
        <w:t xml:space="preserve"> lead counsel </w:t>
      </w:r>
      <w:r w:rsidR="00667636">
        <w:t xml:space="preserve">in </w:t>
      </w:r>
      <w:r w:rsidR="00D44516" w:rsidRPr="007E210E">
        <w:rPr>
          <w:rStyle w:val="Emphasis"/>
        </w:rPr>
        <w:t>In Re Pressure Sensitive Labelstock Antitrust Litigation</w:t>
      </w:r>
      <w:r w:rsidR="00D44516" w:rsidRPr="007E210E">
        <w:t xml:space="preserve"> (M.D. Pa.). </w:t>
      </w:r>
    </w:p>
    <w:p w14:paraId="4561EFD9" w14:textId="77777777" w:rsidR="007E210E" w:rsidRPr="007E210E" w:rsidRDefault="007E210E" w:rsidP="007E210E"/>
    <w:p w14:paraId="4561EFDA" w14:textId="77777777" w:rsidR="00D44516" w:rsidRPr="007E210E" w:rsidRDefault="00441CE2" w:rsidP="007E210E">
      <w:r>
        <w:t>A</w:t>
      </w:r>
      <w:r w:rsidR="00D44516" w:rsidRPr="007E210E">
        <w:t xml:space="preserve"> member of the trial team in </w:t>
      </w:r>
      <w:r w:rsidR="00D44516" w:rsidRPr="007E210E">
        <w:rPr>
          <w:rStyle w:val="Emphasis"/>
        </w:rPr>
        <w:t>In re Vitamins Antitrust Litigation</w:t>
      </w:r>
      <w:r w:rsidR="00503375">
        <w:t xml:space="preserve"> (D.D.C.), which</w:t>
      </w:r>
      <w:r w:rsidR="00D44516" w:rsidRPr="007E210E">
        <w:t xml:space="preserve"> resulted in a verdict in favor of the plain</w:t>
      </w:r>
      <w:r>
        <w:t xml:space="preserve">tiffs and the class of $148.5 </w:t>
      </w:r>
      <w:r w:rsidR="00D44516" w:rsidRPr="007E210E">
        <w:t>million after trebling.</w:t>
      </w:r>
    </w:p>
    <w:p w14:paraId="4561EFDB" w14:textId="77777777" w:rsidR="007E210E" w:rsidRDefault="007E210E" w:rsidP="007E210E"/>
    <w:p w14:paraId="4561EFDC" w14:textId="77777777" w:rsidR="00441CE2" w:rsidRPr="00FF6B9B" w:rsidRDefault="00441CE2" w:rsidP="007E210E">
      <w:pPr>
        <w:rPr>
          <w:b/>
        </w:rPr>
      </w:pPr>
      <w:r w:rsidRPr="00FF6B9B">
        <w:rPr>
          <w:b/>
        </w:rPr>
        <w:t>Securities and Derivative Litigation</w:t>
      </w:r>
      <w:r w:rsidR="00166888">
        <w:rPr>
          <w:b/>
        </w:rPr>
        <w:t xml:space="preserve"> Results </w:t>
      </w:r>
    </w:p>
    <w:p w14:paraId="4561EFDD" w14:textId="77777777" w:rsidR="00441CE2" w:rsidRPr="007E210E" w:rsidRDefault="00441CE2" w:rsidP="007E210E"/>
    <w:p w14:paraId="4561EFDE" w14:textId="77777777" w:rsidR="00441CE2" w:rsidRDefault="00441CE2" w:rsidP="007E210E">
      <w:r>
        <w:t>S</w:t>
      </w:r>
      <w:r w:rsidR="00D44516" w:rsidRPr="007E210E">
        <w:t xml:space="preserve">erved as Derivative Plaintiffs’ Lead Counsel in a securities fraud and derivative/breach of fiduciary duty case in which a $33 million settlement was reached with the former directors and officers of the Public Service Company of New Mexico. </w:t>
      </w:r>
    </w:p>
    <w:p w14:paraId="4561EFDF" w14:textId="77777777" w:rsidR="00441CE2" w:rsidRDefault="00441CE2" w:rsidP="007E210E"/>
    <w:p w14:paraId="4561EFE0" w14:textId="77777777" w:rsidR="00D44516" w:rsidRPr="007E210E" w:rsidRDefault="00441CE2" w:rsidP="007E210E">
      <w:r>
        <w:lastRenderedPageBreak/>
        <w:t>C</w:t>
      </w:r>
      <w:r w:rsidR="00D44516" w:rsidRPr="007E210E">
        <w:t>o</w:t>
      </w:r>
      <w:r w:rsidR="002409E3">
        <w:t xml:space="preserve">-lead counsel </w:t>
      </w:r>
      <w:r w:rsidR="005C19DD">
        <w:t xml:space="preserve">in </w:t>
      </w:r>
      <w:r w:rsidR="002409E3">
        <w:t xml:space="preserve">the </w:t>
      </w:r>
      <w:proofErr w:type="spellStart"/>
      <w:r w:rsidR="002409E3" w:rsidRPr="005C19DD">
        <w:rPr>
          <w:i/>
        </w:rPr>
        <w:t>Sunderman</w:t>
      </w:r>
      <w:proofErr w:type="spellEnd"/>
      <w:r w:rsidR="002409E3" w:rsidRPr="005C19DD">
        <w:rPr>
          <w:i/>
        </w:rPr>
        <w:t xml:space="preserve"> Securities Fraud Litigation</w:t>
      </w:r>
      <w:r w:rsidR="005C19DD">
        <w:t xml:space="preserve">, </w:t>
      </w:r>
      <w:r w:rsidR="002409E3">
        <w:t xml:space="preserve">a </w:t>
      </w:r>
      <w:r w:rsidR="00D44516" w:rsidRPr="007E210E">
        <w:t xml:space="preserve">class action that resulted in a combined settlement of </w:t>
      </w:r>
      <w:r w:rsidR="005C19DD">
        <w:t>$31 million</w:t>
      </w:r>
      <w:r w:rsidR="00D44516" w:rsidRPr="007E210E">
        <w:t>.</w:t>
      </w:r>
    </w:p>
    <w:p w14:paraId="4561EFE1" w14:textId="77777777" w:rsidR="00D44516" w:rsidRPr="007E210E" w:rsidRDefault="00D44516" w:rsidP="007E210E"/>
    <w:p w14:paraId="4561EFE2" w14:textId="77777777" w:rsidR="00476E79" w:rsidRDefault="00441CE2" w:rsidP="007E210E">
      <w:r>
        <w:t>C</w:t>
      </w:r>
      <w:r w:rsidR="00D44516" w:rsidRPr="00724EF5">
        <w:t xml:space="preserve">o-lead counsel in </w:t>
      </w:r>
      <w:r w:rsidR="00D44516" w:rsidRPr="00724EF5">
        <w:rPr>
          <w:rStyle w:val="Emphasis"/>
        </w:rPr>
        <w:t>Benfield v. Steindler and General Electric Co. (</w:t>
      </w:r>
      <w:r w:rsidR="00D44516" w:rsidRPr="00724EF5">
        <w:t>S.D. Ohio), a derivative action in which a settlement of $21 million was reached.</w:t>
      </w:r>
    </w:p>
    <w:p w14:paraId="4561EFE3" w14:textId="77777777" w:rsidR="00B46128" w:rsidRDefault="00B46128" w:rsidP="007E210E"/>
    <w:p w14:paraId="4561EFE4" w14:textId="77777777" w:rsidR="00B46128" w:rsidRDefault="00B46128" w:rsidP="007E210E">
      <w:r>
        <w:t xml:space="preserve">Counsel for Pacific Life with regard to its securities fraud claims arising out of the Republic Bank failure, settling the matter for $14 million. </w:t>
      </w:r>
    </w:p>
    <w:p w14:paraId="4561EFE5" w14:textId="77777777" w:rsidR="00B46128" w:rsidRDefault="00B46128" w:rsidP="007E210E"/>
    <w:p w14:paraId="4561EFE6" w14:textId="77777777" w:rsidR="00B46128" w:rsidRDefault="00B46128" w:rsidP="007E210E">
      <w:r>
        <w:t>Counsel for Pacific Life in the WorldCom Securities Fraud litigation, settling his client’s claims in an amount that is required to be confidential.</w:t>
      </w:r>
    </w:p>
    <w:p w14:paraId="4561EFE7" w14:textId="77777777" w:rsidR="00476E79" w:rsidRDefault="00476E79" w:rsidP="007E210E"/>
    <w:p w14:paraId="4561EFE8" w14:textId="77777777" w:rsidR="006B23F8" w:rsidRDefault="006B23F8" w:rsidP="007E210E"/>
    <w:p w14:paraId="4561EFE9" w14:textId="77777777" w:rsidR="006B23F8" w:rsidRDefault="006B23F8" w:rsidP="007E210E">
      <w:pPr>
        <w:rPr>
          <w:b/>
        </w:rPr>
      </w:pPr>
      <w:r w:rsidRPr="006B23F8">
        <w:rPr>
          <w:b/>
        </w:rPr>
        <w:t>Consumer Fraud Litigation</w:t>
      </w:r>
      <w:r w:rsidR="00166888">
        <w:rPr>
          <w:b/>
        </w:rPr>
        <w:t xml:space="preserve"> Results</w:t>
      </w:r>
    </w:p>
    <w:p w14:paraId="4561EFEA" w14:textId="77777777" w:rsidR="006B23F8" w:rsidRDefault="006B23F8" w:rsidP="007E210E">
      <w:pPr>
        <w:rPr>
          <w:b/>
        </w:rPr>
      </w:pPr>
    </w:p>
    <w:p w14:paraId="4561EFEB" w14:textId="77777777" w:rsidR="006B23F8" w:rsidRDefault="006B23F8" w:rsidP="007E210E">
      <w:r>
        <w:t xml:space="preserve">Co-lead counsel in a consumer fraud class action brought against </w:t>
      </w:r>
      <w:r w:rsidRPr="006B23F8">
        <w:rPr>
          <w:i/>
        </w:rPr>
        <w:t>Schiff Nutrition, Lerma v. Schiff Nutrition</w:t>
      </w:r>
      <w:r>
        <w:t>, (S.D. CA.) for its sale of glucosamine/chondroitin, in which a settlement w</w:t>
      </w:r>
      <w:r w:rsidR="00166888">
        <w:t>as reached in the amount of $12 million</w:t>
      </w:r>
      <w:r>
        <w:t xml:space="preserve"> along with labeling changes.</w:t>
      </w:r>
    </w:p>
    <w:p w14:paraId="4561EFEC" w14:textId="77777777" w:rsidR="006B23F8" w:rsidRDefault="006B23F8" w:rsidP="007E210E"/>
    <w:p w14:paraId="4561EFED" w14:textId="77777777" w:rsidR="006B23F8" w:rsidRDefault="006B23F8" w:rsidP="006B23F8">
      <w:r>
        <w:t xml:space="preserve">Co-lead counsel in a consumer fraud class action brought against NBTY/Rexall Sundown, </w:t>
      </w:r>
      <w:r w:rsidRPr="006B23F8">
        <w:rPr>
          <w:i/>
        </w:rPr>
        <w:t>Pearson v. Target</w:t>
      </w:r>
      <w:r>
        <w:t xml:space="preserve"> (N.D. Ill.) for their sale of glucosamine/chondroitin, in which a settlement w</w:t>
      </w:r>
      <w:r w:rsidR="00166888">
        <w:t>as reached in the amount of $12 million</w:t>
      </w:r>
      <w:r>
        <w:t xml:space="preserve"> along with labeling changes.</w:t>
      </w:r>
    </w:p>
    <w:p w14:paraId="4561EFEE" w14:textId="77777777" w:rsidR="006B23F8" w:rsidRDefault="006B23F8" w:rsidP="006B23F8"/>
    <w:p w14:paraId="4561EFEF" w14:textId="77777777" w:rsidR="006B23F8" w:rsidRDefault="006B23F8" w:rsidP="006B23F8">
      <w:r>
        <w:t xml:space="preserve">Co-lead counsel in a consumer fraud class action brought against Walgreen Co. </w:t>
      </w:r>
      <w:proofErr w:type="spellStart"/>
      <w:r>
        <w:t>Guilen</w:t>
      </w:r>
      <w:proofErr w:type="spellEnd"/>
      <w:r>
        <w:t xml:space="preserve"> v. Walgreen (S.D. N.Y.) for its sale of glucosamine/chondroitin, in which a settlement was reached in t</w:t>
      </w:r>
      <w:r w:rsidR="00166888">
        <w:t>he amount of $15 million</w:t>
      </w:r>
      <w:r>
        <w:t xml:space="preserve"> along with labeling changes.</w:t>
      </w:r>
    </w:p>
    <w:p w14:paraId="4561EFF0" w14:textId="77777777" w:rsidR="00166888" w:rsidRDefault="00166888" w:rsidP="006B23F8"/>
    <w:p w14:paraId="4561EFF1" w14:textId="77777777" w:rsidR="00166888" w:rsidRDefault="00166888" w:rsidP="00166888">
      <w:r>
        <w:t xml:space="preserve">Co-lead counsel in a consumer fraud class action brought against </w:t>
      </w:r>
      <w:proofErr w:type="spellStart"/>
      <w:r>
        <w:t>Pharmavite</w:t>
      </w:r>
      <w:proofErr w:type="spellEnd"/>
      <w:r>
        <w:t xml:space="preserve"> LLC, </w:t>
      </w:r>
      <w:r>
        <w:rPr>
          <w:i/>
        </w:rPr>
        <w:t xml:space="preserve">Barrera v. </w:t>
      </w:r>
      <w:proofErr w:type="spellStart"/>
      <w:r>
        <w:rPr>
          <w:i/>
        </w:rPr>
        <w:t>Pharmavite</w:t>
      </w:r>
      <w:proofErr w:type="spellEnd"/>
      <w:r>
        <w:rPr>
          <w:i/>
        </w:rPr>
        <w:t xml:space="preserve"> </w:t>
      </w:r>
      <w:proofErr w:type="gramStart"/>
      <w:r>
        <w:rPr>
          <w:i/>
        </w:rPr>
        <w:t xml:space="preserve">LLC </w:t>
      </w:r>
      <w:r>
        <w:t xml:space="preserve"> (</w:t>
      </w:r>
      <w:proofErr w:type="gramEnd"/>
      <w:r>
        <w:t>C.D. CA.) for their sale of glucosamine/chondroitin, in which a settlement was reached in the amount of $12 million along with labeling changes.</w:t>
      </w:r>
    </w:p>
    <w:p w14:paraId="4561EFF2" w14:textId="77777777" w:rsidR="00166888" w:rsidRDefault="00166888" w:rsidP="00166888"/>
    <w:p w14:paraId="4561EFF3" w14:textId="77777777" w:rsidR="00166888" w:rsidRDefault="00166888" w:rsidP="00166888">
      <w:r>
        <w:t xml:space="preserve">Co-lead counsel in a consumer fraud class action brought against Direct Digital, Mullins v Direct Digital (N.D. Ill.) for their sale of glucosamine/chondroitin, in which a settlement was reached in the amount of $7.5 million along with labeling changes. In the course of this litigation Mr. Weltman successfully persuaded the Seventh Circuit to reject a restrictive </w:t>
      </w:r>
      <w:proofErr w:type="spellStart"/>
      <w:r>
        <w:t>ascertainability</w:t>
      </w:r>
      <w:proofErr w:type="spellEnd"/>
      <w:r>
        <w:t xml:space="preserve"> doctrine in class actions that had been adopted by the Third Circuit. The Seventh Circuit’s ruling led the way for other circuits to reject this doctrine and has resulted in the Third Circuit slowly rolling back its ruling.  </w:t>
      </w:r>
    </w:p>
    <w:p w14:paraId="4561EFF4" w14:textId="77777777" w:rsidR="00166888" w:rsidRPr="006B23F8" w:rsidRDefault="00166888" w:rsidP="006B23F8"/>
    <w:p w14:paraId="4561EFF5" w14:textId="77777777" w:rsidR="00441CE2" w:rsidRDefault="00441CE2" w:rsidP="007E210E"/>
    <w:p w14:paraId="4561EFF6" w14:textId="77777777" w:rsidR="00441CE2" w:rsidRPr="00FF6B9B" w:rsidRDefault="00476E79" w:rsidP="007E210E">
      <w:pPr>
        <w:rPr>
          <w:b/>
        </w:rPr>
      </w:pPr>
      <w:r>
        <w:rPr>
          <w:b/>
        </w:rPr>
        <w:t>Construction Defect Litigation</w:t>
      </w:r>
    </w:p>
    <w:p w14:paraId="4561EFF7" w14:textId="77777777" w:rsidR="00441CE2" w:rsidRDefault="00441CE2" w:rsidP="007E210E"/>
    <w:p w14:paraId="4561EFF8" w14:textId="77777777" w:rsidR="00D44516" w:rsidRPr="00724EF5" w:rsidRDefault="00441CE2" w:rsidP="007E210E">
      <w:r>
        <w:t>C</w:t>
      </w:r>
      <w:r w:rsidR="00D10F5E">
        <w:t>o-</w:t>
      </w:r>
      <w:r w:rsidR="00D44516" w:rsidRPr="00724EF5">
        <w:t xml:space="preserve">lead counsel for a class of 1500 homeowners in South Florida and obtained a $15 million settlement arising out of defective construction claims.  </w:t>
      </w:r>
    </w:p>
    <w:p w14:paraId="4561EFF9" w14:textId="77777777" w:rsidR="00D44516" w:rsidRPr="007E210E" w:rsidRDefault="00D44516" w:rsidP="007E210E">
      <w:pPr>
        <w:sectPr w:rsidR="00D44516" w:rsidRPr="007E210E">
          <w:pgSz w:w="12240" w:h="15840"/>
          <w:pgMar w:top="1440" w:right="1440" w:bottom="1440" w:left="1440" w:header="1440" w:footer="1440" w:gutter="0"/>
          <w:cols w:space="720"/>
          <w:noEndnote/>
        </w:sectPr>
      </w:pPr>
    </w:p>
    <w:p w14:paraId="4561EFFA" w14:textId="77777777" w:rsidR="00D44516" w:rsidRPr="007E210E" w:rsidRDefault="00D44516" w:rsidP="007E210E"/>
    <w:p w14:paraId="4561EFFB" w14:textId="77777777" w:rsidR="00A96099" w:rsidRPr="00A96099" w:rsidRDefault="00441CE2" w:rsidP="007E210E">
      <w:r>
        <w:t xml:space="preserve">Mr. Weltman </w:t>
      </w:r>
      <w:r w:rsidR="00D44516" w:rsidRPr="007E210E">
        <w:t xml:space="preserve">has argued before the Illinois Appellate Court, the </w:t>
      </w:r>
      <w:r w:rsidR="00077A29">
        <w:t xml:space="preserve">Ninth, </w:t>
      </w:r>
      <w:r w:rsidR="002A29FB">
        <w:t xml:space="preserve">Seventh, </w:t>
      </w:r>
      <w:r w:rsidR="00D44516" w:rsidRPr="007E210E">
        <w:t>Fifth</w:t>
      </w:r>
      <w:r w:rsidR="00476E79">
        <w:t xml:space="preserve"> and</w:t>
      </w:r>
      <w:r w:rsidR="00D44516" w:rsidRPr="007E210E">
        <w:t xml:space="preserve"> </w:t>
      </w:r>
      <w:r w:rsidR="00D44516" w:rsidRPr="007E210E">
        <w:lastRenderedPageBreak/>
        <w:t xml:space="preserve">Federal Circuit Courts of </w:t>
      </w:r>
      <w:r>
        <w:t xml:space="preserve">Appeals, and </w:t>
      </w:r>
      <w:r w:rsidR="00D44516" w:rsidRPr="007E210E">
        <w:t xml:space="preserve">has appeared before the United States Supreme Court as both counsel of record and </w:t>
      </w:r>
      <w:r w:rsidR="0033494A">
        <w:t>as amicus counsel.</w:t>
      </w:r>
    </w:p>
    <w:sectPr w:rsidR="00A96099" w:rsidRPr="00A96099" w:rsidSect="00D4451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16"/>
    <w:rsid w:val="00077A29"/>
    <w:rsid w:val="000D0249"/>
    <w:rsid w:val="00127182"/>
    <w:rsid w:val="00166888"/>
    <w:rsid w:val="001707E5"/>
    <w:rsid w:val="001B3D88"/>
    <w:rsid w:val="002409E3"/>
    <w:rsid w:val="002A29FB"/>
    <w:rsid w:val="002F45A8"/>
    <w:rsid w:val="0033494A"/>
    <w:rsid w:val="003470E3"/>
    <w:rsid w:val="00414601"/>
    <w:rsid w:val="00420D05"/>
    <w:rsid w:val="00441CE2"/>
    <w:rsid w:val="00476E79"/>
    <w:rsid w:val="00503375"/>
    <w:rsid w:val="00537BA1"/>
    <w:rsid w:val="005A4468"/>
    <w:rsid w:val="005C19DD"/>
    <w:rsid w:val="005D30DF"/>
    <w:rsid w:val="006277D9"/>
    <w:rsid w:val="00632E6B"/>
    <w:rsid w:val="00647C9C"/>
    <w:rsid w:val="00667636"/>
    <w:rsid w:val="006B23F8"/>
    <w:rsid w:val="00724EF5"/>
    <w:rsid w:val="00762CE8"/>
    <w:rsid w:val="00785A7F"/>
    <w:rsid w:val="007875F3"/>
    <w:rsid w:val="007E210E"/>
    <w:rsid w:val="007F54CE"/>
    <w:rsid w:val="00881DB7"/>
    <w:rsid w:val="009465FA"/>
    <w:rsid w:val="0096435A"/>
    <w:rsid w:val="00985A44"/>
    <w:rsid w:val="009E3229"/>
    <w:rsid w:val="009F657A"/>
    <w:rsid w:val="00A96099"/>
    <w:rsid w:val="00AE0202"/>
    <w:rsid w:val="00B13C31"/>
    <w:rsid w:val="00B46128"/>
    <w:rsid w:val="00CB418E"/>
    <w:rsid w:val="00CC2CD5"/>
    <w:rsid w:val="00D02F0C"/>
    <w:rsid w:val="00D10F5E"/>
    <w:rsid w:val="00D44516"/>
    <w:rsid w:val="00D55096"/>
    <w:rsid w:val="00D572F6"/>
    <w:rsid w:val="00DF18B2"/>
    <w:rsid w:val="00EF2FA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61EFC3"/>
  <w15:docId w15:val="{2E0EA170-7493-4309-9DE6-DFDE9C70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iCs/>
    </w:rPr>
  </w:style>
  <w:style w:type="paragraph" w:styleId="DocumentMap">
    <w:name w:val="Document Map"/>
    <w:basedOn w:val="Normal"/>
    <w:semiHidden/>
    <w:rsid w:val="000D0249"/>
    <w:pPr>
      <w:shd w:val="clear" w:color="auto" w:fill="000080"/>
    </w:pPr>
    <w:rPr>
      <w:rFonts w:ascii="Tahoma" w:hAnsi="Tahoma" w:cs="Tahoma"/>
      <w:sz w:val="20"/>
      <w:szCs w:val="20"/>
    </w:rPr>
  </w:style>
  <w:style w:type="character" w:styleId="FollowedHyperlink">
    <w:name w:val="FollowedHyperlink"/>
    <w:basedOn w:val="DefaultParagraphFont"/>
    <w:rsid w:val="003470E3"/>
    <w:rPr>
      <w:color w:val="800080"/>
      <w:u w:val="single"/>
    </w:rPr>
  </w:style>
  <w:style w:type="character" w:styleId="Hyperlink">
    <w:name w:val="Hyperlink"/>
    <w:basedOn w:val="DefaultParagraphFont"/>
    <w:rsid w:val="0033494A"/>
    <w:rPr>
      <w:color w:val="0000FF"/>
      <w:u w:val="single"/>
    </w:rPr>
  </w:style>
  <w:style w:type="paragraph" w:styleId="FootnoteText">
    <w:name w:val="footnote text"/>
    <w:basedOn w:val="Normal"/>
    <w:link w:val="FootnoteTextChar"/>
    <w:uiPriority w:val="99"/>
    <w:unhideWhenUsed/>
    <w:rsid w:val="001707E5"/>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uiPriority w:val="99"/>
    <w:rsid w:val="001707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Stewart Weltman</Company>
  <LinksUpToDate>false</LinksUpToDate>
  <CharactersWithSpaces>4833</CharactersWithSpaces>
  <SharedDoc>false</SharedDoc>
  <HLinks>
    <vt:vector size="12" baseType="variant">
      <vt:variant>
        <vt:i4>8323194</vt:i4>
      </vt:variant>
      <vt:variant>
        <vt:i4>5</vt:i4>
      </vt:variant>
      <vt:variant>
        <vt:i4>0</vt:i4>
      </vt:variant>
      <vt:variant>
        <vt:i4>5</vt:i4>
      </vt:variant>
      <vt:variant>
        <vt:lpwstr>http://leanlitigation.typepad.com/</vt:lpwstr>
      </vt:variant>
      <vt:variant>
        <vt:lpwstr/>
      </vt:variant>
      <vt:variant>
        <vt:i4>2031663</vt:i4>
      </vt:variant>
      <vt:variant>
        <vt:i4>2</vt:i4>
      </vt:variant>
      <vt:variant>
        <vt:i4>0</vt:i4>
      </vt:variant>
      <vt:variant>
        <vt:i4>5</vt:i4>
      </vt:variant>
      <vt:variant>
        <vt:lpwstr>mailto:sweltman@futtermanhoward.com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Weltman</dc:creator>
  <cp:lastModifiedBy>Stewart Weltman</cp:lastModifiedBy>
  <cp:revision>6</cp:revision>
  <dcterms:created xsi:type="dcterms:W3CDTF">2019-06-28T00:58:00Z</dcterms:created>
  <dcterms:modified xsi:type="dcterms:W3CDTF">2019-10-30T17:53:00Z</dcterms:modified>
</cp:coreProperties>
</file>